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8"/>
        <w:gridCol w:w="1898"/>
        <w:gridCol w:w="3869"/>
      </w:tblGrid>
      <w:tr w:rsidR="00810E1B" w:rsidRPr="000071B8" w14:paraId="01033B37" w14:textId="77777777" w:rsidTr="00E9243F">
        <w:tc>
          <w:tcPr>
            <w:tcW w:w="3652" w:type="dxa"/>
          </w:tcPr>
          <w:p w14:paraId="3CD60755" w14:textId="77777777" w:rsidR="00810E1B" w:rsidRPr="00E9243F" w:rsidRDefault="00810E1B" w:rsidP="00810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2A5E">
              <w:rPr>
                <w:rFonts w:ascii="Times New Roman" w:hAnsi="Times New Roman" w:cs="Times New Roman"/>
                <w:b/>
              </w:rPr>
              <w:t>Г</w:t>
            </w:r>
            <w:r w:rsidRPr="00E9243F">
              <w:rPr>
                <w:rFonts w:ascii="Times New Roman" w:hAnsi="Times New Roman" w:cs="Times New Roman"/>
                <w:b/>
              </w:rPr>
              <w:t>осударственный комитет по ценовой политике Республики Саха (Якутия)</w:t>
            </w:r>
          </w:p>
          <w:p w14:paraId="79E40FF5" w14:textId="77777777" w:rsidR="00810E1B" w:rsidRPr="00E9243F" w:rsidRDefault="00810E1B" w:rsidP="00810E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45202B" w14:textId="77777777" w:rsidR="00810E1B" w:rsidRPr="00810E1B" w:rsidRDefault="00810E1B" w:rsidP="00810E1B">
            <w:pPr>
              <w:jc w:val="center"/>
              <w:rPr>
                <w:sz w:val="28"/>
                <w:szCs w:val="28"/>
              </w:rPr>
            </w:pPr>
            <w:r w:rsidRPr="00E9243F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Государственное казенное учреждение Республики Саха (Якутия) «Тарифное агентство»</w:t>
            </w:r>
          </w:p>
        </w:tc>
        <w:tc>
          <w:tcPr>
            <w:tcW w:w="1985" w:type="dxa"/>
          </w:tcPr>
          <w:p w14:paraId="1FEFD655" w14:textId="77777777" w:rsidR="00810E1B" w:rsidRDefault="00810E1B">
            <w:r w:rsidRPr="00810E1B">
              <w:rPr>
                <w:noProof/>
                <w:lang w:eastAsia="ru-RU"/>
              </w:rPr>
              <w:drawing>
                <wp:anchor distT="0" distB="0" distL="0" distR="0" simplePos="0" relativeHeight="251659264" behindDoc="0" locked="0" layoutInCell="1" allowOverlap="1" wp14:anchorId="4A35D7DB" wp14:editId="0EA6DB3B">
                  <wp:simplePos x="0" y="0"/>
                  <wp:positionH relativeFrom="page">
                    <wp:posOffset>184404</wp:posOffset>
                  </wp:positionH>
                  <wp:positionV relativeFrom="paragraph">
                    <wp:posOffset>151384</wp:posOffset>
                  </wp:positionV>
                  <wp:extent cx="864870" cy="865632"/>
                  <wp:effectExtent l="19050" t="0" r="0" b="0"/>
                  <wp:wrapNone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870" cy="865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34" w:type="dxa"/>
          </w:tcPr>
          <w:p w14:paraId="4EFE4402" w14:textId="77777777" w:rsidR="00810E1B" w:rsidRPr="00E9243F" w:rsidRDefault="00810E1B" w:rsidP="00810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43F">
              <w:rPr>
                <w:rFonts w:ascii="Times New Roman" w:hAnsi="Times New Roman" w:cs="Times New Roman"/>
                <w:b/>
              </w:rPr>
              <w:t xml:space="preserve">Саха </w:t>
            </w:r>
            <w:proofErr w:type="spellStart"/>
            <w:r w:rsidRPr="00E9243F">
              <w:rPr>
                <w:rFonts w:ascii="Times New Roman" w:hAnsi="Times New Roman" w:cs="Times New Roman"/>
                <w:b/>
              </w:rPr>
              <w:t>Өрөспүүбүлүкэтин</w:t>
            </w:r>
            <w:proofErr w:type="spellEnd"/>
          </w:p>
          <w:p w14:paraId="0B83E55C" w14:textId="77777777" w:rsidR="00810E1B" w:rsidRPr="00E9243F" w:rsidRDefault="00810E1B" w:rsidP="00810E1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9243F">
              <w:rPr>
                <w:rFonts w:ascii="Times New Roman" w:hAnsi="Times New Roman" w:cs="Times New Roman"/>
                <w:b/>
              </w:rPr>
              <w:t>Сыана</w:t>
            </w:r>
            <w:proofErr w:type="spellEnd"/>
            <w:r w:rsidRPr="00E9243F">
              <w:rPr>
                <w:rFonts w:ascii="Times New Roman" w:hAnsi="Times New Roman" w:cs="Times New Roman"/>
                <w:b/>
                <w:lang w:val="sah-RU"/>
              </w:rPr>
              <w:t>ҕ</w:t>
            </w:r>
            <w:r w:rsidRPr="00E9243F">
              <w:rPr>
                <w:rFonts w:ascii="Times New Roman" w:hAnsi="Times New Roman" w:cs="Times New Roman"/>
                <w:b/>
              </w:rPr>
              <w:t xml:space="preserve">а </w:t>
            </w:r>
            <w:proofErr w:type="spellStart"/>
            <w:r w:rsidRPr="00E9243F">
              <w:rPr>
                <w:rFonts w:ascii="Times New Roman" w:hAnsi="Times New Roman" w:cs="Times New Roman"/>
                <w:b/>
              </w:rPr>
              <w:t>политикатын</w:t>
            </w:r>
            <w:proofErr w:type="spellEnd"/>
          </w:p>
          <w:p w14:paraId="5E02ABB9" w14:textId="77777777" w:rsidR="00810E1B" w:rsidRPr="00E9243F" w:rsidRDefault="00810E1B" w:rsidP="00810E1B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proofErr w:type="spellStart"/>
            <w:r w:rsidRPr="00E9243F">
              <w:rPr>
                <w:rFonts w:ascii="Times New Roman" w:hAnsi="Times New Roman" w:cs="Times New Roman"/>
                <w:b/>
              </w:rPr>
              <w:t>государственнай</w:t>
            </w:r>
            <w:proofErr w:type="spellEnd"/>
            <w:r w:rsidRPr="00E9243F">
              <w:rPr>
                <w:rFonts w:ascii="Times New Roman" w:hAnsi="Times New Roman" w:cs="Times New Roman"/>
                <w:b/>
              </w:rPr>
              <w:t xml:space="preserve"> комитета</w:t>
            </w:r>
          </w:p>
          <w:p w14:paraId="2782C5FB" w14:textId="77777777" w:rsidR="00810E1B" w:rsidRPr="00E9243F" w:rsidRDefault="00810E1B" w:rsidP="00810E1B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</w:p>
          <w:p w14:paraId="5EF1E5A1" w14:textId="77777777" w:rsidR="00810E1B" w:rsidRPr="00810E1B" w:rsidRDefault="00810E1B" w:rsidP="000E78BF">
            <w:pPr>
              <w:jc w:val="center"/>
              <w:rPr>
                <w:sz w:val="28"/>
                <w:szCs w:val="28"/>
                <w:lang w:val="sah-RU"/>
              </w:rPr>
            </w:pPr>
            <w:r w:rsidRPr="00E9243F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Саха Өрөспүүбүлүкэтин «Тарыып ааҕыныстыбата» хааhына </w:t>
            </w:r>
            <w:r w:rsidR="000E78BF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государственнай</w:t>
            </w:r>
            <w:r w:rsidRPr="00E9243F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 тэрилтэтэ</w:t>
            </w:r>
          </w:p>
        </w:tc>
      </w:tr>
    </w:tbl>
    <w:p w14:paraId="74036BC4" w14:textId="77777777" w:rsidR="00E9243F" w:rsidRDefault="00E9243F" w:rsidP="00E9243F">
      <w:pPr>
        <w:spacing w:line="240" w:lineRule="auto"/>
        <w:contextualSpacing/>
        <w:jc w:val="center"/>
        <w:rPr>
          <w:lang w:val="sah-RU"/>
        </w:rPr>
      </w:pPr>
      <w:r>
        <w:rPr>
          <w:lang w:val="sah-RU"/>
        </w:rPr>
        <w:t>_____________________________________________________________________________________</w:t>
      </w:r>
    </w:p>
    <w:p w14:paraId="424A46A6" w14:textId="4150026B" w:rsidR="0013212C" w:rsidRDefault="00364804" w:rsidP="00E9243F">
      <w:pPr>
        <w:spacing w:line="240" w:lineRule="auto"/>
        <w:contextualSpacing/>
        <w:jc w:val="center"/>
        <w:rPr>
          <w:rFonts w:ascii="Times New Roman" w:hAnsi="Times New Roman" w:cs="Times New Roman"/>
          <w:lang w:val="sah-RU"/>
        </w:rPr>
      </w:pPr>
      <w:r w:rsidRPr="00364804">
        <w:rPr>
          <w:rFonts w:ascii="Times New Roman" w:hAnsi="Times New Roman" w:cs="Times New Roman"/>
          <w:lang w:val="sah-RU"/>
        </w:rPr>
        <w:t>6</w:t>
      </w:r>
      <w:r w:rsidR="00E9243F" w:rsidRPr="00E9243F">
        <w:rPr>
          <w:rFonts w:ascii="Times New Roman" w:hAnsi="Times New Roman" w:cs="Times New Roman"/>
          <w:lang w:val="sah-RU"/>
        </w:rPr>
        <w:t xml:space="preserve">77000, г. Якутск, пр. Ленина, 4/2, E-mail: </w:t>
      </w:r>
      <w:r w:rsidR="004E30D8">
        <w:fldChar w:fldCharType="begin"/>
      </w:r>
      <w:r w:rsidR="004E30D8">
        <w:instrText xml:space="preserve"> HYPERLINK "mailto:tarif_agent@mail.ru" </w:instrText>
      </w:r>
      <w:r w:rsidR="004E30D8">
        <w:fldChar w:fldCharType="separate"/>
      </w:r>
      <w:r w:rsidR="00E9243F" w:rsidRPr="00E703DB">
        <w:rPr>
          <w:rStyle w:val="a4"/>
          <w:rFonts w:ascii="Times New Roman" w:hAnsi="Times New Roman" w:cs="Times New Roman"/>
          <w:lang w:val="sah-RU"/>
        </w:rPr>
        <w:t>tarif_agent@mail.ru</w:t>
      </w:r>
      <w:r w:rsidR="004E30D8">
        <w:rPr>
          <w:rStyle w:val="a4"/>
          <w:rFonts w:ascii="Times New Roman" w:hAnsi="Times New Roman" w:cs="Times New Roman"/>
          <w:lang w:val="sah-RU"/>
        </w:rPr>
        <w:fldChar w:fldCharType="end"/>
      </w:r>
    </w:p>
    <w:p w14:paraId="36852AD8" w14:textId="77777777" w:rsidR="00E9243F" w:rsidRDefault="00E9243F" w:rsidP="00E9243F">
      <w:pPr>
        <w:spacing w:line="240" w:lineRule="auto"/>
        <w:contextualSpacing/>
        <w:jc w:val="center"/>
        <w:rPr>
          <w:rFonts w:ascii="Times New Roman" w:hAnsi="Times New Roman" w:cs="Times New Roman"/>
          <w:lang w:val="sah-RU"/>
        </w:rPr>
      </w:pPr>
    </w:p>
    <w:p w14:paraId="265D4DDD" w14:textId="10B60818" w:rsidR="00377598" w:rsidRDefault="00377598" w:rsidP="0037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8B2810" w14:textId="77777777" w:rsidR="000071B8" w:rsidRDefault="000071B8" w:rsidP="0037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8C4F7" w14:textId="77777777" w:rsidR="000071B8" w:rsidRDefault="000071B8" w:rsidP="0037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0D493" w14:textId="168CB42C" w:rsidR="00377598" w:rsidRDefault="000071B8" w:rsidP="0037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учреждения за 1 полугодие 2022 г.</w:t>
      </w:r>
    </w:p>
    <w:p w14:paraId="55A37944" w14:textId="77777777" w:rsidR="000071B8" w:rsidRDefault="000071B8" w:rsidP="0037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AF682" w14:textId="0814D375" w:rsidR="003C31E2" w:rsidRPr="003C31E2" w:rsidRDefault="003C31E2" w:rsidP="003C31E2">
      <w:pPr>
        <w:spacing w:after="0" w:line="360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создано 14</w:t>
      </w:r>
      <w:r w:rsidR="005F1C83"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2022, согласно Уставу Учреждения, о</w:t>
      </w:r>
      <w:r w:rsidRPr="003C31E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сновными целями деятельности Учреждения являются:</w:t>
      </w:r>
    </w:p>
    <w:p w14:paraId="7EDFAC05" w14:textId="6DAFF3AA" w:rsidR="003C31E2" w:rsidRPr="003C31E2" w:rsidRDefault="003C31E2" w:rsidP="003C31E2">
      <w:pPr>
        <w:spacing w:after="0" w:line="360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C3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A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3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птимизация расходов государственного бюджета Республики Саха (Якутия); </w:t>
      </w:r>
    </w:p>
    <w:p w14:paraId="65D73101" w14:textId="7CFF9988" w:rsidR="003C31E2" w:rsidRPr="003C31E2" w:rsidRDefault="003C31E2" w:rsidP="003C31E2">
      <w:pPr>
        <w:spacing w:after="0" w:line="360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C3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A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31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оптимизации экономически обоснованных тарифов (цен, ставок, надбавок, размеров плат), подлежащих государственному регулированию;</w:t>
      </w:r>
    </w:p>
    <w:p w14:paraId="1E04F975" w14:textId="66E1D7F0" w:rsidR="003C31E2" w:rsidRDefault="003C31E2" w:rsidP="003C31E2">
      <w:pPr>
        <w:spacing w:after="0" w:line="360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C3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AB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C3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исполнении государственных функций в целях обеспечения реализации предусмотренных законодательством Российской Федерации и Республики Саха (Якутия) полномочий </w:t>
      </w:r>
      <w:proofErr w:type="spellStart"/>
      <w:r w:rsidRPr="003C31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Госкомцен</w:t>
      </w:r>
      <w:proofErr w:type="spellEnd"/>
      <w:r w:rsidRPr="003C3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РС(Я).</w:t>
      </w:r>
    </w:p>
    <w:p w14:paraId="4006350E" w14:textId="698B70E7" w:rsidR="008A79FF" w:rsidRDefault="003C31E2" w:rsidP="003C31E2">
      <w:pPr>
        <w:spacing w:after="0" w:line="360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определен</w:t>
      </w:r>
      <w:r w:rsidR="008A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показатели, характеризующие </w:t>
      </w:r>
      <w:r w:rsidR="008A79FF" w:rsidRPr="008A79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и объем исполняемых функций, направленные на сдерживание расходов потребителей и средств государственного бюджета РС(Я) на основе оптимизации экономически обоснованных тарифов (цен, ставок, надбавок, размеров плат), подлежащих государственному регулированию</w:t>
      </w:r>
      <w:r w:rsidR="004E7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100 млн ежегодно.</w:t>
      </w:r>
    </w:p>
    <w:p w14:paraId="4503302B" w14:textId="2FB49995" w:rsidR="003C31E2" w:rsidRDefault="003C31E2" w:rsidP="003C31E2">
      <w:pPr>
        <w:spacing w:after="0" w:line="360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создания по настоящее время, Учреждение</w:t>
      </w:r>
      <w:r w:rsidR="00124DD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2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98B6D4B" w14:textId="1C6923CF" w:rsidR="00124DD7" w:rsidRPr="00C47943" w:rsidRDefault="00124DD7" w:rsidP="00C4794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479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целях сдерживания расходов средств государственного бюджета РС(Я) в сфере коммунальных услуг:</w:t>
      </w:r>
    </w:p>
    <w:p w14:paraId="2F4B9D4D" w14:textId="198FF5B1" w:rsidR="00C47943" w:rsidRDefault="00124DD7" w:rsidP="00C47943">
      <w:pPr>
        <w:pStyle w:val="ad"/>
        <w:numPr>
          <w:ilvl w:val="0"/>
          <w:numId w:val="3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9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Чурапчинском улусе (районе) установлено, что холодная вода, поставляемая ООО «</w:t>
      </w:r>
      <w:proofErr w:type="spellStart"/>
      <w:r w:rsidRPr="00C4794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Хатан</w:t>
      </w:r>
      <w:proofErr w:type="spellEnd"/>
      <w:r w:rsidRPr="00C4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proofErr w:type="spellStart"/>
      <w:r w:rsidRPr="00C47943">
        <w:rPr>
          <w:rFonts w:ascii="Times New Roman" w:eastAsia="Times New Roman" w:hAnsi="Times New Roman" w:cs="Times New Roman"/>
          <w:sz w:val="28"/>
          <w:szCs w:val="28"/>
          <w:lang w:eastAsia="ru-RU"/>
        </w:rPr>
        <w:t>с.Чурапча</w:t>
      </w:r>
      <w:proofErr w:type="spellEnd"/>
      <w:r w:rsidRPr="00C4794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приобретается с водозабора Чурапчинского филиала ГУП «ЖКХ РС(Я)» по 19,16 руб./м3 (с НДС стоимость 23 руб.). Данный тариф установлен постановлением администрации МО Чурапчинского улуса (района) № 02 от 12.01.2015. При этом, в установленном тарифе на питьевую воду (питьевое водоснабжение), поставляемую ООО «</w:t>
      </w:r>
      <w:proofErr w:type="spellStart"/>
      <w:r w:rsidRPr="00C4794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Хатан</w:t>
      </w:r>
      <w:proofErr w:type="spellEnd"/>
      <w:r w:rsidRPr="00C4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2021 года учтены затраты на покупку воды у ООО «Коммунальные технологии» (по тарифам установленным ГКЦ РС (Я)), которые на порядок выше, чем у Чурапчинского филиала ГУП «ЖКХ РС(Я)». </w:t>
      </w:r>
      <w:r w:rsidRPr="00C479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Данный факт подтвердили при устном опросе работников во время командировки специалиста Учреждения 06.04.2022. Выявленная экономия от снижения цены потребляемого ресурса за 2021 и 2022 годы, составляет в сумме </w:t>
      </w:r>
      <w:r w:rsidRPr="00C47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9 692,97</w:t>
      </w:r>
      <w:r w:rsidRPr="00C4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794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C479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DC5582" w14:textId="6DE46138" w:rsidR="00124DD7" w:rsidRPr="00456CF4" w:rsidRDefault="00124DD7" w:rsidP="00124DD7">
      <w:pPr>
        <w:pStyle w:val="ad"/>
        <w:numPr>
          <w:ilvl w:val="0"/>
          <w:numId w:val="3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Нюрбинском улусе (районе) установлено, что ООО «ЖКХ Альтернатива» осуществляет поставку тепловой энергии без утвержденного в законном порядке тарифа в </w:t>
      </w:r>
      <w:proofErr w:type="spellStart"/>
      <w:r w:rsidRPr="00456CF4">
        <w:rPr>
          <w:rFonts w:ascii="Times New Roman" w:eastAsia="Times New Roman" w:hAnsi="Times New Roman" w:cs="Times New Roman"/>
          <w:sz w:val="28"/>
          <w:szCs w:val="28"/>
          <w:lang w:eastAsia="ru-RU"/>
        </w:rPr>
        <w:t>с.Нюрбачан</w:t>
      </w:r>
      <w:proofErr w:type="spellEnd"/>
      <w:r w:rsidRPr="00456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Нюрбинского улуса (района), следующим потребителям:</w:t>
      </w:r>
      <w:r w:rsidR="00456CF4" w:rsidRPr="00456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CF4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Центр народного творчества «</w:t>
      </w:r>
      <w:proofErr w:type="spellStart"/>
      <w:r w:rsidRPr="00456CF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Тумсуу</w:t>
      </w:r>
      <w:proofErr w:type="spellEnd"/>
      <w:r w:rsidRPr="00456CF4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МО «</w:t>
      </w:r>
      <w:proofErr w:type="spellStart"/>
      <w:r w:rsidRPr="00456CF4">
        <w:rPr>
          <w:rFonts w:ascii="Times New Roman" w:eastAsia="Times New Roman" w:hAnsi="Times New Roman" w:cs="Times New Roman"/>
          <w:sz w:val="28"/>
          <w:szCs w:val="28"/>
          <w:lang w:eastAsia="ru-RU"/>
        </w:rPr>
        <w:t>Нюрбачанский</w:t>
      </w:r>
      <w:proofErr w:type="spellEnd"/>
      <w:r w:rsidRPr="00456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наслег» - объект СДК;</w:t>
      </w:r>
      <w:r w:rsidR="00456CF4" w:rsidRPr="00456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CF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МО «</w:t>
      </w:r>
      <w:proofErr w:type="spellStart"/>
      <w:r w:rsidRPr="00456CF4">
        <w:rPr>
          <w:rFonts w:ascii="Times New Roman" w:eastAsia="Times New Roman" w:hAnsi="Times New Roman" w:cs="Times New Roman"/>
          <w:sz w:val="28"/>
          <w:szCs w:val="28"/>
          <w:lang w:eastAsia="ru-RU"/>
        </w:rPr>
        <w:t>Нюрбачанский</w:t>
      </w:r>
      <w:proofErr w:type="spellEnd"/>
      <w:r w:rsidRPr="00456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наслег» - объект Спортзал.</w:t>
      </w:r>
    </w:p>
    <w:p w14:paraId="12C9128D" w14:textId="73B3F732" w:rsidR="00124DD7" w:rsidRPr="00124DD7" w:rsidRDefault="00124DD7" w:rsidP="00124DD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Выявлено нарушение по ст. 14.6 КоАП РФ. Сумма согласно договоров теплоснабжения за 2022 год, составляет в </w:t>
      </w:r>
      <w:proofErr w:type="gramStart"/>
      <w:r w:rsidRPr="00124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 </w:t>
      </w:r>
      <w:r w:rsidRPr="00124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proofErr w:type="gramEnd"/>
      <w:r w:rsidRPr="00124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489,69 </w:t>
      </w:r>
      <w:proofErr w:type="spellStart"/>
      <w:r w:rsidRPr="00124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тыс.руб</w:t>
      </w:r>
      <w:proofErr w:type="spellEnd"/>
      <w:r w:rsidRPr="00124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46D97926" w14:textId="787BB8D4" w:rsidR="00124DD7" w:rsidRDefault="00124DD7" w:rsidP="00456CF4">
      <w:pPr>
        <w:pStyle w:val="ad"/>
        <w:numPr>
          <w:ilvl w:val="0"/>
          <w:numId w:val="3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C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Верхневилюйском улусе (районе), в связи с несоответствием объемов покупной воды у АО «Водоканал» по факту и в расчетах установленных тарифов на питьевую воду, поставляемую ООО «Алекса+» и ООО УК «</w:t>
      </w:r>
      <w:proofErr w:type="spellStart"/>
      <w:r w:rsidRPr="00456CF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Алпекс</w:t>
      </w:r>
      <w:proofErr w:type="spellEnd"/>
      <w:r w:rsidRPr="00456CF4">
        <w:rPr>
          <w:rFonts w:ascii="Times New Roman" w:eastAsia="Times New Roman" w:hAnsi="Times New Roman" w:cs="Times New Roman"/>
          <w:sz w:val="28"/>
          <w:szCs w:val="28"/>
          <w:lang w:eastAsia="ru-RU"/>
        </w:rPr>
        <w:t>+», проведена работа по определению объемов покупной воды ООО УК «</w:t>
      </w:r>
      <w:proofErr w:type="spellStart"/>
      <w:r w:rsidRPr="00456CF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Алпекс</w:t>
      </w:r>
      <w:proofErr w:type="spellEnd"/>
      <w:r w:rsidRPr="00456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+». Выявленная экономия от снижения объемов потребляемого ресурса за период с 01.07.2021 по 31.12.2021, составляет в сумме </w:t>
      </w:r>
      <w:r w:rsidRPr="00456C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5 485,72 </w:t>
      </w:r>
      <w:proofErr w:type="spellStart"/>
      <w:r w:rsidRPr="00456C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тыс.руб</w:t>
      </w:r>
      <w:proofErr w:type="spellEnd"/>
      <w:r w:rsidRPr="00456C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C23DCBA" w14:textId="77777777" w:rsidR="00696E70" w:rsidRPr="00696E70" w:rsidRDefault="00456CF4" w:rsidP="00456CF4">
      <w:pPr>
        <w:pStyle w:val="ad"/>
        <w:numPr>
          <w:ilvl w:val="0"/>
          <w:numId w:val="3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Горном районе установлено, что в филиале ГУП «ЖКХ РС(Я)» в период с 2016 по 2021 годы в тарифах учтены расходы на вид топлива – нефть, при этом, по факту использовался газоконденсат. Законодательство в сфере тарифного регулирования предусматривает такое достижение экономии расходов</w:t>
      </w:r>
      <w:r w:rsidR="0069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последующее его сохранение у ресурсоснабжающей организации в предусмотренных законодательством случаях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D1E8972" w14:textId="1D788FCE" w:rsidR="00456CF4" w:rsidRPr="00696E70" w:rsidRDefault="00696E70" w:rsidP="00696E70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ГКЦ РС(Я) нарушений со стороны </w:t>
      </w:r>
      <w:proofErr w:type="spellStart"/>
      <w:r w:rsidRPr="00696E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ресусроснабжающей</w:t>
      </w:r>
      <w:proofErr w:type="spellEnd"/>
      <w:r w:rsidRPr="0069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</w:t>
      </w:r>
      <w:r w:rsidRPr="00696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9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достигнутой экономии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проведении тарифной кампании на 2023 год, то сумма снятия</w:t>
      </w:r>
      <w:r w:rsidR="00456CF4" w:rsidRPr="0069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456CF4" w:rsidRPr="00696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263 112,22 </w:t>
      </w:r>
      <w:proofErr w:type="spellStart"/>
      <w:r w:rsidR="00456CF4" w:rsidRPr="00696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тыс.руб</w:t>
      </w:r>
      <w:proofErr w:type="spellEnd"/>
      <w:r w:rsidR="00456CF4" w:rsidRPr="00696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39F734" w14:textId="59C49061" w:rsidR="0009210C" w:rsidRPr="0009210C" w:rsidRDefault="0009210C" w:rsidP="0009210C">
      <w:pPr>
        <w:pStyle w:val="ad"/>
        <w:numPr>
          <w:ilvl w:val="0"/>
          <w:numId w:val="3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92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роведена инвентаризация септиков в районах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9210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еспублики, в рамках работы по актуализации схем водоотведения и определени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92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гарантирующей организации. Всего в период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92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092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мая проведена работа в 32 районах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2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инвентаризированы 3 780 объекта водоотведения (септиков), в ходе работы выявлены 459 домов частного сектора не вошедшие в тарифы водоотведения имеющих централизованное водоснабжение, а также по 147 адресам необходимо внести корректировки в действующие тарифы, по причине их отсутствия, сноса либо нового ввода объекта. По каждому району республики сформированы акты инвентаризации и согласованы на муниципальном уровне.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ведущими специалистами Учреждения по муниципальным районам,</w:t>
      </w:r>
      <w:r w:rsidRPr="00092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администрациями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092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й,</w:t>
      </w:r>
      <w:r w:rsidRPr="00092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подготовлены распоряжени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92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определении гарантирующих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</w:t>
      </w:r>
      <w:r w:rsidRPr="00092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25 районам республики из которых 17 уже фактически подписаны. После принятия решения о реформировани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2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рынка водоотведения и составления дорожной карты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2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муниципальными образованиями продолжится.</w:t>
      </w:r>
    </w:p>
    <w:p w14:paraId="33618304" w14:textId="51CF6A0B" w:rsidR="003C31E2" w:rsidRPr="00C47943" w:rsidRDefault="00D2717C" w:rsidP="00C4794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479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целях сдерживания расходов потребителей в сфере потребительского рынка:</w:t>
      </w:r>
    </w:p>
    <w:p w14:paraId="6A1BCE16" w14:textId="79CED352" w:rsidR="00D2717C" w:rsidRPr="00D2717C" w:rsidRDefault="00D2717C" w:rsidP="00C47943">
      <w:pPr>
        <w:pStyle w:val="ad"/>
        <w:numPr>
          <w:ilvl w:val="0"/>
          <w:numId w:val="4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C47943" w:rsidRPr="00D271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 совместной</w:t>
      </w:r>
      <w:r w:rsidRPr="00D2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районными</w:t>
      </w:r>
      <w:r w:rsidRPr="00D2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городск</w:t>
      </w:r>
      <w:r w:rsidR="00C47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прокуратурами</w:t>
      </w:r>
      <w:r w:rsidRPr="00D2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РС(Я) </w:t>
      </w:r>
      <w:r w:rsidR="00C47943" w:rsidRPr="00D271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</w:t>
      </w:r>
      <w:r w:rsidR="00C4794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47943" w:rsidRPr="00D2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торговыми</w:t>
      </w:r>
      <w:r w:rsidRPr="00D2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объектами установленного предельного размера розничной торговой надбавки на социально-значимые продовольственные товары, реализуемые на территории районов Республики Саха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17C">
        <w:rPr>
          <w:rFonts w:ascii="Times New Roman" w:eastAsia="Times New Roman" w:hAnsi="Times New Roman" w:cs="Times New Roman"/>
          <w:sz w:val="28"/>
          <w:szCs w:val="28"/>
          <w:lang w:eastAsia="ru-RU"/>
        </w:rPr>
        <w:t>(Якутия)</w:t>
      </w:r>
      <w:r w:rsidR="00C479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 9</w:t>
      </w:r>
      <w:r w:rsidR="00AB56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2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нарушения, проверено 241 торговых объектов. Экономия средств </w:t>
      </w:r>
      <w:r w:rsidR="00C47943" w:rsidRPr="00D27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потребителей по</w:t>
      </w:r>
      <w:r w:rsidRPr="00D2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943" w:rsidRPr="00D271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</w:t>
      </w:r>
      <w:r w:rsidR="00C479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C47943" w:rsidRPr="00D2717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2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</w:t>
      </w:r>
      <w:r w:rsidR="00C47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снижения завышенной</w:t>
      </w:r>
      <w:r w:rsidRPr="00D2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розничной торговой надбавки на социально-значимые продовольственные товары до </w:t>
      </w:r>
      <w:r w:rsidR="00C47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предельных установленных</w:t>
      </w:r>
      <w:r w:rsidRPr="00D2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943" w:rsidRPr="00D271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более</w:t>
      </w:r>
      <w:r w:rsidRPr="00D2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3,3 </w:t>
      </w:r>
      <w:proofErr w:type="spellStart"/>
      <w:proofErr w:type="gramStart"/>
      <w:r w:rsidRPr="00D27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млн.рублей</w:t>
      </w:r>
      <w:proofErr w:type="spellEnd"/>
      <w:proofErr w:type="gramEnd"/>
      <w:r w:rsidRPr="00D271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BE17C8" w14:textId="692AE9EA" w:rsidR="00D2717C" w:rsidRPr="00D2717C" w:rsidRDefault="00D2717C" w:rsidP="001E0389">
      <w:pPr>
        <w:pStyle w:val="ad"/>
        <w:numPr>
          <w:ilvl w:val="0"/>
          <w:numId w:val="4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900 еженедельных мониторингов розничных цен на территории Республики на социально-значимые продовольственные и иные товары из 43 наименований. Всего мониторингом охвачено 527 торговых объектов во всех 36 муниципальных образованиях и городских округах </w:t>
      </w:r>
      <w:r w:rsidR="00C479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Pr="00D2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Полученная при мониторинге информация по отдельной форме направляется в ГКЦ РС(Я), для последующей передачи в аппарат Полномочного Представителя Президента РФ по Дальневосточному </w:t>
      </w:r>
      <w:r w:rsidR="00C4794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федеральному округу</w:t>
      </w:r>
      <w:r w:rsidRPr="00D2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</w:p>
    <w:p w14:paraId="62A31BCF" w14:textId="220F6059" w:rsidR="00D2717C" w:rsidRPr="00D2717C" w:rsidRDefault="00D2717C" w:rsidP="00D2717C">
      <w:pPr>
        <w:pStyle w:val="ad"/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1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144 ежемесячных мониторингов цен на хлеб в муниципальных образованиях и городских округах</w:t>
      </w:r>
      <w:r w:rsidR="00C479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0AF1E1" w14:textId="2E9D6339" w:rsidR="001E0389" w:rsidRDefault="00D2717C" w:rsidP="001E0389">
      <w:pPr>
        <w:pStyle w:val="ad"/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396 еженедельных мониторингов цен в муниципальных образованиях и городских округах Республики Саха (Якутия) на </w:t>
      </w:r>
      <w:r w:rsidR="005F1C83" w:rsidRPr="00D2717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жизненно необходимые</w:t>
      </w:r>
      <w:r w:rsidRPr="00D2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важные лекарственные препараты. Мониторингом охвачено 125 аптек по всей территории </w:t>
      </w:r>
      <w:r w:rsidR="00C4794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2717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еспублики.</w:t>
      </w:r>
    </w:p>
    <w:p w14:paraId="04616A65" w14:textId="6B6F5D71" w:rsidR="00D2717C" w:rsidRPr="001E0389" w:rsidRDefault="00D2717C" w:rsidP="001E0389">
      <w:pPr>
        <w:pStyle w:val="ad"/>
        <w:numPr>
          <w:ilvl w:val="0"/>
          <w:numId w:val="4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сбор и анализ цен и тарифов по поручениям </w:t>
      </w:r>
      <w:r w:rsidR="00C47943" w:rsidRPr="001E0389">
        <w:rPr>
          <w:rFonts w:ascii="Times New Roman" w:eastAsia="Times New Roman" w:hAnsi="Times New Roman" w:cs="Times New Roman"/>
          <w:sz w:val="28"/>
          <w:szCs w:val="28"/>
          <w:lang w:eastAsia="ru-RU"/>
        </w:rPr>
        <w:t>ГКЦ</w:t>
      </w:r>
      <w:r w:rsidRPr="001E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РС(Я):</w:t>
      </w:r>
    </w:p>
    <w:p w14:paraId="283B673B" w14:textId="66F44DC2" w:rsidR="00D2717C" w:rsidRPr="00D2717C" w:rsidRDefault="00D2717C" w:rsidP="00D2717C">
      <w:pPr>
        <w:pStyle w:val="ad"/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паромным переправам. Проверены цены по 9 направлениям, по итогам обнаружено 3 нарушения, подано </w:t>
      </w:r>
      <w:r w:rsidR="00C47943" w:rsidRPr="00D2717C">
        <w:rPr>
          <w:rFonts w:ascii="Times New Roman" w:eastAsia="Times New Roman" w:hAnsi="Times New Roman" w:cs="Times New Roman"/>
          <w:sz w:val="28"/>
          <w:szCs w:val="28"/>
          <w:lang w:eastAsia="ru-RU"/>
        </w:rPr>
        <w:t>3 жалобы</w:t>
      </w:r>
      <w:r w:rsidRPr="00D2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в ГКЦ РС (Я).</w:t>
      </w:r>
    </w:p>
    <w:p w14:paraId="09F4014D" w14:textId="52BF375F" w:rsidR="00D2717C" w:rsidRPr="00D2717C" w:rsidRDefault="00D2717C" w:rsidP="00D2717C">
      <w:pPr>
        <w:pStyle w:val="ad"/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территории республики ведется работа по сбору и анализу по согласовании цен на хлеб, </w:t>
      </w:r>
      <w:r w:rsidR="00C47943" w:rsidRPr="00D2717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дотационной</w:t>
      </w:r>
      <w:r w:rsidRPr="00D2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муки, поставляемой по распоряжению Правительства РС (Я) </w:t>
      </w:r>
      <w:r w:rsidR="005F1C83" w:rsidRPr="00D271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</w:t>
      </w:r>
      <w:r w:rsidR="005F1C83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="005F1C83" w:rsidRPr="00D2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Pr="00D2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215-р (с изменениями от 01 06 2022 №471-р), а также анализ </w:t>
      </w:r>
      <w:r w:rsidR="00C47943" w:rsidRPr="00D271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 по</w:t>
      </w:r>
      <w:r w:rsidRPr="00D2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твердому </w:t>
      </w:r>
      <w:r w:rsidR="00C47943" w:rsidRPr="00D2717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топливу по</w:t>
      </w:r>
      <w:r w:rsidRPr="00D2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исполнению приказа ГКЦ РС (Я) </w:t>
      </w:r>
      <w:r w:rsidR="005F1C83" w:rsidRPr="00D271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23.12.2021</w:t>
      </w:r>
      <w:r w:rsidRPr="00D2717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23.</w:t>
      </w:r>
    </w:p>
    <w:p w14:paraId="70E2A9A8" w14:textId="44AC0F15" w:rsidR="00D2717C" w:rsidRPr="00D2717C" w:rsidRDefault="00D2717C" w:rsidP="00D2717C">
      <w:pPr>
        <w:pStyle w:val="ad"/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поручению </w:t>
      </w:r>
      <w:r w:rsidR="00C47943">
        <w:rPr>
          <w:rFonts w:ascii="Times New Roman" w:eastAsia="Times New Roman" w:hAnsi="Times New Roman" w:cs="Times New Roman"/>
          <w:sz w:val="28"/>
          <w:szCs w:val="28"/>
          <w:lang w:eastAsia="ru-RU"/>
        </w:rPr>
        <w:t>ГКЦ</w:t>
      </w:r>
      <w:r w:rsidRPr="00D2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РС(Я) проведена работа по выявлению наличия товарных наименований по социально-значимым продовольственным товарам </w:t>
      </w:r>
      <w:r w:rsidRPr="00D271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торговых объектах на территории Республики, для анализа и корректировки действующего перечня СЗПТ по муниципальным районам.</w:t>
      </w:r>
    </w:p>
    <w:p w14:paraId="1D23FAA5" w14:textId="55889C9B" w:rsidR="00D2717C" w:rsidRPr="00124DD7" w:rsidRDefault="00D2717C" w:rsidP="001E0389">
      <w:pPr>
        <w:pStyle w:val="ad"/>
        <w:numPr>
          <w:ilvl w:val="0"/>
          <w:numId w:val="4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1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Тарифными экспертами на местах проводится постоянная работа с предпринимателями по разъяснению законодательства в области ценообразования, проведено 222 личных консультаций предпринимателей, направлено различных справочно-информационных материалов в адрес 326 предпринимателей.  Размещено 36 публикаций по вопросам ценообразования и тарифной политики в районных газетах и официальных интернет-сайтах улусных администраций, периодически размещаются справочно-информационные материалы в социальных сетях, в мессенджерах.</w:t>
      </w:r>
      <w:r w:rsidRPr="00D271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9E92D9B" w14:textId="28007DAC" w:rsidR="000071B8" w:rsidRDefault="00DF72CF" w:rsidP="000071B8">
      <w:pPr>
        <w:spacing w:after="0" w:line="360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примерная сумма экономии средств государственного бюджета и потребителей составляет </w:t>
      </w:r>
      <w:r w:rsidRPr="00574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287 080,6 </w:t>
      </w:r>
      <w:proofErr w:type="spellStart"/>
      <w:r w:rsidRPr="00574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Pr="00DF72CF">
        <w:rPr>
          <w:rFonts w:ascii="Times New Roman" w:eastAsia="Times New Roman" w:hAnsi="Times New Roman" w:cs="Times New Roman"/>
          <w:sz w:val="28"/>
          <w:szCs w:val="28"/>
          <w:lang w:eastAsia="ru-RU"/>
        </w:rPr>
        <w:t>23 968,38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учета ГУП «ЖКХ РС(Я)»)</w:t>
      </w:r>
      <w:r w:rsidR="00007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E1E85B" w14:textId="77777777" w:rsidR="000071B8" w:rsidRDefault="000071B8" w:rsidP="000071B8">
      <w:pPr>
        <w:spacing w:after="0" w:line="360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A5E319" w14:textId="4F9526DB" w:rsidR="000071B8" w:rsidRDefault="000071B8" w:rsidP="000071B8">
      <w:pPr>
        <w:spacing w:after="0" w:line="360" w:lineRule="exact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3A467747" w14:textId="77777777" w:rsidR="004E7ABD" w:rsidRDefault="004E7ABD" w:rsidP="004E7ABD">
      <w:pPr>
        <w:spacing w:after="0" w:line="360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E7ABD" w:rsidSect="003B2B2B">
      <w:footerReference w:type="default" r:id="rId9"/>
      <w:footerReference w:type="firs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FAB96" w14:textId="77777777" w:rsidR="001E06EE" w:rsidRDefault="001E06EE" w:rsidP="007B1C92">
      <w:pPr>
        <w:spacing w:after="0" w:line="240" w:lineRule="auto"/>
      </w:pPr>
      <w:r>
        <w:separator/>
      </w:r>
    </w:p>
  </w:endnote>
  <w:endnote w:type="continuationSeparator" w:id="0">
    <w:p w14:paraId="4FE09D3C" w14:textId="77777777" w:rsidR="001E06EE" w:rsidRDefault="001E06EE" w:rsidP="007B1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02460" w14:textId="7F1CDF8C" w:rsidR="00AC63BE" w:rsidRPr="00C8793B" w:rsidRDefault="00AC63BE" w:rsidP="00C8793B">
    <w:pPr>
      <w:pStyle w:val="ab"/>
    </w:pPr>
    <w:r w:rsidRPr="00C8793B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8D27B" w14:textId="017B812C" w:rsidR="007B30A5" w:rsidRPr="008A79FF" w:rsidRDefault="007B30A5" w:rsidP="008A79FF">
    <w:pPr>
      <w:pStyle w:val="ab"/>
    </w:pPr>
    <w:r w:rsidRPr="008A79F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A580C" w14:textId="77777777" w:rsidR="001E06EE" w:rsidRDefault="001E06EE" w:rsidP="007B1C92">
      <w:pPr>
        <w:spacing w:after="0" w:line="240" w:lineRule="auto"/>
      </w:pPr>
      <w:r>
        <w:separator/>
      </w:r>
    </w:p>
  </w:footnote>
  <w:footnote w:type="continuationSeparator" w:id="0">
    <w:p w14:paraId="710FB918" w14:textId="77777777" w:rsidR="001E06EE" w:rsidRDefault="001E06EE" w:rsidP="007B1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788"/>
    <w:multiLevelType w:val="hybridMultilevel"/>
    <w:tmpl w:val="355C7782"/>
    <w:lvl w:ilvl="0" w:tplc="6DAA71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5290307"/>
    <w:multiLevelType w:val="hybridMultilevel"/>
    <w:tmpl w:val="FA52CC3C"/>
    <w:lvl w:ilvl="0" w:tplc="1C24F8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1D4665F"/>
    <w:multiLevelType w:val="hybridMultilevel"/>
    <w:tmpl w:val="D0222476"/>
    <w:lvl w:ilvl="0" w:tplc="4B0A4A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67A7D1D"/>
    <w:multiLevelType w:val="hybridMultilevel"/>
    <w:tmpl w:val="6680ADA8"/>
    <w:lvl w:ilvl="0" w:tplc="0464B0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1B"/>
    <w:rsid w:val="000071B8"/>
    <w:rsid w:val="0004250B"/>
    <w:rsid w:val="00054C16"/>
    <w:rsid w:val="00055276"/>
    <w:rsid w:val="0009210C"/>
    <w:rsid w:val="000E78BF"/>
    <w:rsid w:val="00107E59"/>
    <w:rsid w:val="001152A8"/>
    <w:rsid w:val="00124DD7"/>
    <w:rsid w:val="0013212C"/>
    <w:rsid w:val="00134626"/>
    <w:rsid w:val="001879EF"/>
    <w:rsid w:val="001E0389"/>
    <w:rsid w:val="001E06EE"/>
    <w:rsid w:val="001E6A88"/>
    <w:rsid w:val="00257D26"/>
    <w:rsid w:val="002E57CB"/>
    <w:rsid w:val="00302055"/>
    <w:rsid w:val="00315849"/>
    <w:rsid w:val="00322091"/>
    <w:rsid w:val="003308F0"/>
    <w:rsid w:val="00340322"/>
    <w:rsid w:val="00364804"/>
    <w:rsid w:val="00377598"/>
    <w:rsid w:val="003B2B2B"/>
    <w:rsid w:val="003C31E2"/>
    <w:rsid w:val="003D2D3D"/>
    <w:rsid w:val="00400B99"/>
    <w:rsid w:val="00456CF4"/>
    <w:rsid w:val="004A7C6C"/>
    <w:rsid w:val="004E2979"/>
    <w:rsid w:val="004E30D8"/>
    <w:rsid w:val="004E3477"/>
    <w:rsid w:val="004E7ABD"/>
    <w:rsid w:val="004F153D"/>
    <w:rsid w:val="00522D81"/>
    <w:rsid w:val="0057443C"/>
    <w:rsid w:val="00584C4E"/>
    <w:rsid w:val="005854FB"/>
    <w:rsid w:val="005B639E"/>
    <w:rsid w:val="005F125A"/>
    <w:rsid w:val="005F1C83"/>
    <w:rsid w:val="00644437"/>
    <w:rsid w:val="006465C2"/>
    <w:rsid w:val="00652B7F"/>
    <w:rsid w:val="0066442B"/>
    <w:rsid w:val="00696E70"/>
    <w:rsid w:val="006A2D67"/>
    <w:rsid w:val="006A5245"/>
    <w:rsid w:val="006B77F5"/>
    <w:rsid w:val="006B79E5"/>
    <w:rsid w:val="007220B8"/>
    <w:rsid w:val="007346F3"/>
    <w:rsid w:val="007B1C92"/>
    <w:rsid w:val="007B30A5"/>
    <w:rsid w:val="007B7F56"/>
    <w:rsid w:val="00810E1B"/>
    <w:rsid w:val="00883108"/>
    <w:rsid w:val="008A79FF"/>
    <w:rsid w:val="00945791"/>
    <w:rsid w:val="00963DA0"/>
    <w:rsid w:val="00995BE9"/>
    <w:rsid w:val="009B3F65"/>
    <w:rsid w:val="009E1E03"/>
    <w:rsid w:val="00A51426"/>
    <w:rsid w:val="00A700B3"/>
    <w:rsid w:val="00AB307E"/>
    <w:rsid w:val="00AB5610"/>
    <w:rsid w:val="00AC1EE1"/>
    <w:rsid w:val="00AC63BE"/>
    <w:rsid w:val="00BB5CF8"/>
    <w:rsid w:val="00BC2BEB"/>
    <w:rsid w:val="00BD14E9"/>
    <w:rsid w:val="00C37A1B"/>
    <w:rsid w:val="00C47943"/>
    <w:rsid w:val="00C6068F"/>
    <w:rsid w:val="00C8793B"/>
    <w:rsid w:val="00D2243F"/>
    <w:rsid w:val="00D2717C"/>
    <w:rsid w:val="00D52A5E"/>
    <w:rsid w:val="00D54049"/>
    <w:rsid w:val="00D97CE9"/>
    <w:rsid w:val="00DB2578"/>
    <w:rsid w:val="00DF72CF"/>
    <w:rsid w:val="00E901CD"/>
    <w:rsid w:val="00E9243F"/>
    <w:rsid w:val="00EB1304"/>
    <w:rsid w:val="00EC147E"/>
    <w:rsid w:val="00EC39D5"/>
    <w:rsid w:val="00F424BC"/>
    <w:rsid w:val="00F8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972D"/>
  <w15:docId w15:val="{B8CB9A58-9CD4-4222-BE90-2A560450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243F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rsid w:val="007B1C9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7B1C9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B1C92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1">
    <w:name w:val="Основной текст (2) + Не курсив"/>
    <w:basedOn w:val="2"/>
    <w:rsid w:val="007B1C9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7B1C9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7">
    <w:name w:val="Колонтитул_"/>
    <w:basedOn w:val="a0"/>
    <w:link w:val="a8"/>
    <w:rsid w:val="007B1C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B1C92"/>
    <w:pPr>
      <w:widowControl w:val="0"/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7B1C92"/>
    <w:pPr>
      <w:widowControl w:val="0"/>
      <w:shd w:val="clear" w:color="auto" w:fill="FFFFFF"/>
      <w:spacing w:before="300" w:after="0"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7B1C92"/>
    <w:pPr>
      <w:widowControl w:val="0"/>
      <w:shd w:val="clear" w:color="auto" w:fill="FFFFFF"/>
      <w:spacing w:before="300" w:after="420" w:line="324" w:lineRule="exact"/>
      <w:ind w:firstLine="60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6">
    <w:name w:val="Подпись к таблице"/>
    <w:basedOn w:val="a"/>
    <w:link w:val="a5"/>
    <w:rsid w:val="007B1C9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Колонтитул"/>
    <w:basedOn w:val="a"/>
    <w:link w:val="a7"/>
    <w:rsid w:val="007B1C9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C6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63BE"/>
  </w:style>
  <w:style w:type="paragraph" w:styleId="ab">
    <w:name w:val="footer"/>
    <w:basedOn w:val="a"/>
    <w:link w:val="ac"/>
    <w:uiPriority w:val="99"/>
    <w:unhideWhenUsed/>
    <w:rsid w:val="00AC6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63BE"/>
  </w:style>
  <w:style w:type="paragraph" w:styleId="ad">
    <w:name w:val="List Paragraph"/>
    <w:basedOn w:val="a"/>
    <w:uiPriority w:val="34"/>
    <w:qFormat/>
    <w:rsid w:val="00D52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FF472-22A4-48D4-A763-5FA2ABC00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Sardana</cp:lastModifiedBy>
  <cp:revision>36</cp:revision>
  <dcterms:created xsi:type="dcterms:W3CDTF">2022-04-18T08:40:00Z</dcterms:created>
  <dcterms:modified xsi:type="dcterms:W3CDTF">2022-07-01T02:15:00Z</dcterms:modified>
</cp:coreProperties>
</file>